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b w:val="1"/>
          <w:bCs w:val="1"/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32"/>
          <w:szCs w:val="32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Paul Van Kemenade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val="single"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Altoist Paul Van Kemenade is known for his collaborations with diverse musical disciplines and cultures. On 21 May he perform in two duos: with Stevko Bush and Budha Building. 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val="single"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Altoist Paul Van Kemenade (1957) is known for his collaborations with diverse musical disciplines and cultures. He played with all kind of musicians like renaissance singers, African- Brazilian- and Moroccan musicians, with string quartets, flamenco guitarists and more. Performed with a.o. Ray Anderson, David Murray, Han Benanink, Markus Stockhausen; he is the initiator of the festival Stranger than Paranoia (since 1993). He received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 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a lifetime achievement award (Boy Edgar Prijs) in 1999, a Royal decoration in 2007 and in June 2020 the Prins Bernhard Cultuurfonds Prijs Noord-Brabant.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Duo Bush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–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Van Kemenade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They play in a duo since 1995 and you can listen to one of the most experienced living Dutch saxophonists with his strength of musical conviction and wide dynamic range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–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in dialogue with a German and Amsterdam-based pianist who developed his individualistic style after working with improviser Misha Mengelberg. There are influences from both South African and ancient Russian melody in this music, which breathes a quiet and soulful atmosphere of contemplation, often coloured with blue elements. Here are songlike pieces without large gestures, strong in their simplicity, but also dynamic rhythms and brilliantly intense improvisation.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Duo Budha Building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–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Van Kemenade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This is the first collaboration between altoist Paul van Kemenade and multi-instrumentalist Budha Building. He is the brainchild of talented artist Hans Timmermans (1968)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 xml:space="preserve">– </w:t>
      </w: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a visionary who has spent the last 25 years creating edgy and diverse music with a truly unique feel. Budha Building is all about creating music that feels engaging and multi-dimensional. He worked for international companies such as Discovery Channel, VH1, FIFA, HBO and National Geographic.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sz w:val="24"/>
          <w:szCs w:val="24"/>
          <w:u w:color="454545"/>
          <w14:textOutline w14:w="12700" w14:cap="flat">
            <w14:noFill/>
            <w14:miter w14:lim="400000"/>
          </w14:textOutline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</w:pPr>
      <w:r>
        <w:rPr>
          <w:sz w:val="24"/>
          <w:szCs w:val="24"/>
          <w:u w:color="454545"/>
          <w:rtl w:val="0"/>
          <w:lang w:val="en-US"/>
          <w14:textOutline w14:w="12700" w14:cap="flat">
            <w14:noFill/>
            <w14:miter w14:lim="400000"/>
          </w14:textOutline>
        </w:rPr>
        <w:t>Link: https://www.paulvankemenade.com/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